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05395" w14:textId="77777777" w:rsidR="00ED0B00" w:rsidRPr="00BA473A" w:rsidRDefault="00315A35" w:rsidP="00BA473A">
      <w:pPr>
        <w:widowControl w:val="0"/>
        <w:ind w:left="1276" w:hanging="1276"/>
        <w:jc w:val="center"/>
        <w:rPr>
          <w:rFonts w:ascii="Times New Roman" w:eastAsia="標楷體" w:hAnsi="Times New Roman" w:cs="Times New Roman"/>
        </w:rPr>
      </w:pPr>
      <w:bookmarkStart w:id="0" w:name="_GoBack"/>
      <w:bookmarkEnd w:id="0"/>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r w:rsidRPr="00BA473A">
        <w:rPr>
          <w:rFonts w:ascii="Times New Roman" w:eastAsia="標楷體" w:hAnsi="Times New Roman" w:cs="Times New Roman"/>
          <w:b/>
          <w:color w:val="000000"/>
          <w:sz w:val="30"/>
          <w:szCs w:val="30"/>
        </w:rPr>
        <w:t>學年度精進國民中小學教師教學專業與課程品質整體推動計畫</w:t>
      </w:r>
    </w:p>
    <w:p w14:paraId="45E0BEFD" w14:textId="5D3E9470"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1" w:name="_gjdgxs"/>
      <w:bookmarkEnd w:id="1"/>
      <w:r w:rsidR="00BA473A" w:rsidRPr="00BA473A">
        <w:rPr>
          <w:rFonts w:ascii="Times New Roman" w:eastAsia="標楷體" w:hAnsi="Times New Roman" w:cs="Times New Roman"/>
          <w:b/>
          <w:color w:val="000000"/>
          <w:sz w:val="30"/>
          <w:szCs w:val="30"/>
        </w:rPr>
        <w:t>-</w:t>
      </w:r>
      <w:r w:rsidRPr="00BA473A">
        <w:rPr>
          <w:rFonts w:ascii="Times New Roman" w:eastAsia="標楷體" w:hAnsi="Times New Roman" w:cs="Times New Roman"/>
          <w:b/>
          <w:color w:val="000000"/>
          <w:sz w:val="30"/>
          <w:szCs w:val="30"/>
        </w:rPr>
        <w:t>提升國小自然科學領域教學知能研習實施計畫</w:t>
      </w:r>
    </w:p>
    <w:p w14:paraId="5A0BD6EF" w14:textId="77777777"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14:paraId="134185AA" w14:textId="77777777"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14:paraId="53B18161" w14:textId="77777777"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r w:rsidRPr="00BA473A">
        <w:rPr>
          <w:rFonts w:ascii="Times New Roman" w:eastAsia="標楷體" w:hAnsi="Times New Roman" w:cs="Times New Roman"/>
          <w:color w:val="000000"/>
        </w:rPr>
        <w:t>學年度精進國民中小學教師教學專業與課程品質整體推動計畫。</w:t>
      </w:r>
    </w:p>
    <w:p w14:paraId="5BBD5009"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14:paraId="08B45565" w14:textId="77777777"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14:paraId="093CBB4B" w14:textId="77777777"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14:paraId="79E9D72D"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14:paraId="1AF0DCA0" w14:textId="77777777"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14:paraId="254CA298" w14:textId="569E368C"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14:paraId="08066B1A" w14:textId="7EFD8E18"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14:paraId="79477BAA" w14:textId="77777777"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14:paraId="466023F1"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14:paraId="714F9FB4" w14:textId="77777777"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14:paraId="16AE9D5A" w14:textId="380819DD"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color w:val="000000"/>
          <w:sz w:val="23"/>
          <w:szCs w:val="23"/>
        </w:rPr>
        <w:t xml:space="preserve"> </w:t>
      </w:r>
      <w:r w:rsidR="00BA473A">
        <w:rPr>
          <w:rFonts w:ascii="Times New Roman" w:eastAsia="標楷體" w:hAnsi="Times New Roman" w:cs="Times New Roman" w:hint="eastAsia"/>
          <w:color w:val="000000"/>
          <w:sz w:val="23"/>
          <w:szCs w:val="23"/>
        </w:rPr>
        <w:t xml:space="preserve">       </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14:paraId="43D73AF8"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14:paraId="32FE1B8E" w14:textId="3248771F"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14:paraId="5973D9CC" w14:textId="0A5D3D1F"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14:paraId="159EE07A"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firstRow="1" w:lastRow="1" w:firstColumn="1" w:lastColumn="1" w:noHBand="0" w:noVBand="0"/>
      </w:tblPr>
      <w:tblGrid>
        <w:gridCol w:w="1733"/>
        <w:gridCol w:w="2028"/>
        <w:gridCol w:w="3041"/>
        <w:gridCol w:w="2027"/>
        <w:gridCol w:w="1569"/>
      </w:tblGrid>
      <w:tr w:rsidR="00ED0B00" w:rsidRPr="00BA473A" w14:paraId="00B4A82D" w14:textId="77777777"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14:paraId="7819613F"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14:paraId="0FB88374"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DA4643F"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14:paraId="16A68A93"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14:paraId="0E1EE58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14:paraId="5258767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14:paraId="26C5DCE8"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14:paraId="59B78651"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497C47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w:t>
            </w:r>
            <w:r w:rsidRPr="00BA473A">
              <w:rPr>
                <w:rFonts w:ascii="Times New Roman" w:eastAsia="標楷體" w:hAnsi="Times New Roman" w:cs="Times New Roman"/>
                <w:color w:val="000000"/>
              </w:rPr>
              <w:t xml:space="preserve">  </w:t>
            </w:r>
            <w:r w:rsidRPr="00BA473A">
              <w:rPr>
                <w:rFonts w:ascii="Times New Roman" w:eastAsia="標楷體" w:hAnsi="Times New Roman" w:cs="Times New Roman"/>
                <w:color w:val="000000"/>
              </w:rPr>
              <w:t>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811F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14:paraId="76B54428"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304AB2B" w14:textId="59A687DF"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614CC892" w14:textId="36AA1BF7"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Pr="00BA473A">
              <w:rPr>
                <w:rFonts w:ascii="Times New Roman" w:eastAsia="標楷體" w:hAnsi="Times New Roman" w:cs="Times New Roman"/>
                <w:bCs/>
                <w:color w:val="000000"/>
                <w:kern w:val="2"/>
              </w:rPr>
              <w:t xml:space="preserve"> </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14:paraId="09ECE96D"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A8C63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C9F2D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F75220D" w14:textId="77777777"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BA83CAA"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102C2DF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6490AD31"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0C3BC0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0888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25523075"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四年級電路單元共備</w:t>
            </w:r>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9BFAF"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臺中市博愛國小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許彩梁</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3FDB8BD8"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5AFECA2F" w14:textId="77777777"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D5114D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14:paraId="4A98F5A9"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14:paraId="69153CC4"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C92C61"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36B864C6"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416F8C8F" w14:textId="77777777"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B9F472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8F04B"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42A73A59" w14:textId="77777777" w:rsidR="00ED0B00" w:rsidRPr="00BA473A" w:rsidRDefault="00315A35" w:rsidP="002A4EF4">
            <w:pPr>
              <w:widowControl w:val="0"/>
              <w:rPr>
                <w:rFonts w:ascii="Times New Roman" w:eastAsia="標楷體" w:hAnsi="Times New Roman" w:cs="Times New Roman"/>
              </w:rPr>
            </w:pPr>
            <w:r w:rsidRPr="00BA473A">
              <w:rPr>
                <w:rFonts w:ascii="Times New Roman" w:eastAsia="標楷體" w:hAnsi="Times New Roman" w:cs="Times New Roman"/>
              </w:rPr>
              <w:t>三年級天氣單元共備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763EA7"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胡秀芳</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674E49B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007D519A"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F702CE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3D787E47"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14:paraId="52913F23"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五年級水溶液單元共備</w:t>
            </w:r>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2FF749"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葉鴻楨老師</w:t>
            </w:r>
          </w:p>
        </w:tc>
        <w:tc>
          <w:tcPr>
            <w:tcW w:w="1536" w:type="dxa"/>
            <w:vMerge/>
            <w:tcBorders>
              <w:top w:val="single" w:sz="4" w:space="0" w:color="000000"/>
              <w:left w:val="single" w:sz="4" w:space="0" w:color="000000"/>
              <w:bottom w:val="single" w:sz="4" w:space="0" w:color="000000"/>
              <w:right w:val="single" w:sz="4" w:space="0" w:color="000000"/>
            </w:tcBorders>
          </w:tcPr>
          <w:p w14:paraId="302E6FA1" w14:textId="77777777" w:rsidR="00ED0B00" w:rsidRPr="00BA473A" w:rsidRDefault="00ED0B00" w:rsidP="002A4EF4">
            <w:pPr>
              <w:widowControl w:val="0"/>
              <w:rPr>
                <w:rFonts w:ascii="Times New Roman" w:eastAsia="標楷體" w:hAnsi="Times New Roman" w:cs="Times New Roman"/>
                <w:color w:val="000000"/>
                <w:kern w:val="2"/>
              </w:rPr>
            </w:pPr>
          </w:p>
        </w:tc>
      </w:tr>
    </w:tbl>
    <w:p w14:paraId="62B039D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p w14:paraId="1DA6DB99"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課程內容說明：</w:t>
      </w:r>
    </w:p>
    <w:p w14:paraId="25434544"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14:paraId="20C4FC86"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講師：臺中市博愛國小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許彩梁</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40186AB6" w14:textId="77777777"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說明：從國小自然領綱跨科概念到四年級電路內容全面概述，從「隱藏電路」的探究實作到課本內容的改編，最後以三用電表測量電路串、並聯的各項數據，以更清楚電路教學的內容與概念。</w:t>
      </w:r>
    </w:p>
    <w:p w14:paraId="03C28D48"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r w:rsidRPr="00BA473A">
        <w:rPr>
          <w:rFonts w:ascii="Times New Roman" w:eastAsia="標楷體" w:hAnsi="Times New Roman" w:cs="Times New Roman"/>
          <w:bCs/>
          <w:color w:val="000000"/>
          <w:kern w:val="2"/>
        </w:rPr>
        <w:t>三年級天氣單元共備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14:paraId="59B2A95E"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 xml:space="preserve">      </w:t>
      </w:r>
      <w:r w:rsidRPr="00BA473A">
        <w:rPr>
          <w:rFonts w:ascii="Times New Roman" w:eastAsia="標楷體" w:hAnsi="Times New Roman" w:cs="Times New Roman"/>
          <w:bCs/>
          <w:color w:val="000000"/>
          <w:kern w:val="2"/>
        </w:rPr>
        <w:t>講師：新北市樹林國小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胡秀芳</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36186D6A" w14:textId="7175B6A5" w:rsidR="00ED0B00" w:rsidRPr="00734E6D" w:rsidRDefault="00734E6D" w:rsidP="00734E6D">
      <w:pPr>
        <w:snapToGrid w:val="0"/>
        <w:ind w:left="1134" w:hanging="1134"/>
        <w:outlineLvl w:val="0"/>
        <w:rPr>
          <w:rFonts w:ascii="Times New Roman" w:eastAsia="標楷體" w:hAnsi="Times New Roman" w:cs="Times New Roman"/>
          <w:bCs/>
          <w:color w:val="000000"/>
          <w:kern w:val="2"/>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說明：以</w:t>
      </w:r>
      <w:r w:rsidR="00315A35" w:rsidRPr="00BA473A">
        <w:rPr>
          <w:rFonts w:ascii="Times New Roman" w:eastAsia="標楷體" w:hAnsi="Times New Roman" w:cs="Times New Roman"/>
          <w:bCs/>
          <w:color w:val="000000"/>
          <w:kern w:val="2"/>
        </w:rPr>
        <w:t>110</w:t>
      </w:r>
      <w:r w:rsidR="00315A35" w:rsidRPr="00BA473A">
        <w:rPr>
          <w:rFonts w:ascii="Times New Roman" w:eastAsia="標楷體" w:hAnsi="Times New Roman" w:cs="Times New Roman"/>
          <w:bCs/>
          <w:color w:val="000000"/>
          <w:kern w:val="2"/>
        </w:rPr>
        <w:t>學年度南一、翰林、康軒三版本國小三年級下學期天氣單元自然課本及自然習作中的科學閱讀文章，選擇合適的圖形組織後進行改寫的「科學閱讀單」，一起「閱讀</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bCs/>
          <w:color w:val="000000"/>
          <w:kern w:val="2"/>
        </w:rPr>
        <w:t>科學」，學習運用圖形組織</w:t>
      </w:r>
      <w:r w:rsidR="00315A35" w:rsidRPr="00BA473A">
        <w:rPr>
          <w:rFonts w:ascii="Times New Roman" w:eastAsia="標楷體" w:hAnsi="Times New Roman" w:cs="Times New Roman"/>
          <w:bCs/>
          <w:color w:val="000000"/>
          <w:kern w:val="2"/>
        </w:rPr>
        <w:t xml:space="preserve">(graphic organizer) </w:t>
      </w:r>
      <w:r w:rsidR="00315A35" w:rsidRPr="00BA473A">
        <w:rPr>
          <w:rFonts w:ascii="Times New Roman" w:eastAsia="標楷體" w:hAnsi="Times New Roman" w:cs="Times New Roman"/>
          <w:bCs/>
          <w:color w:val="000000"/>
          <w:kern w:val="2"/>
        </w:rPr>
        <w:t>這一種視覺化學習的工具，有效地幫助學生理解文章想要表達的資訊重點。</w:t>
      </w:r>
    </w:p>
    <w:p w14:paraId="622A556C"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14:paraId="0D1BE8E1"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講師：宜蘭縣羅東鎮羅東國民小學</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葉鴻楨老師</w:t>
      </w:r>
    </w:p>
    <w:p w14:paraId="5B55BE8A" w14:textId="08C17DFB" w:rsidR="00ED0B00" w:rsidRPr="00BA473A" w:rsidRDefault="00734E6D" w:rsidP="004748E4">
      <w:pPr>
        <w:snapToGrid w:val="0"/>
        <w:ind w:left="1134" w:hanging="1134"/>
        <w:outlineLvl w:val="0"/>
        <w:rPr>
          <w:rFonts w:ascii="Times New Roman" w:eastAsia="標楷體" w:hAnsi="Times New Roman" w:cs="Times New Roman"/>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說明：因應新課綱，應用現有教材進行課程微整形，提供多一點的探究味的課程，簡單幾步驟將食譜式的操作課程，轉化為具探究歷程的實驗操作。</w:t>
      </w:r>
    </w:p>
    <w:p w14:paraId="037BA2BC"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14:paraId="06679B16" w14:textId="16802854"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14:paraId="6911E663"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14:paraId="6EC04E1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firstRow="1" w:lastRow="0" w:firstColumn="1" w:lastColumn="0" w:noHBand="0" w:noVBand="1"/>
      </w:tblPr>
      <w:tblGrid>
        <w:gridCol w:w="1838"/>
        <w:gridCol w:w="1985"/>
        <w:gridCol w:w="1417"/>
        <w:gridCol w:w="1711"/>
        <w:gridCol w:w="1751"/>
        <w:gridCol w:w="1754"/>
      </w:tblGrid>
      <w:tr w:rsidR="00ED0B00" w:rsidRPr="00BA473A" w14:paraId="5988FD43"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627F9D71"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對象</w:t>
            </w:r>
          </w:p>
          <w:p w14:paraId="54C7EBF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14:paraId="14B43C7F"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14:paraId="61819ED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14:paraId="44B77B9E"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14:paraId="4E0E2A40"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14:paraId="1077A88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14:paraId="4E116722"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7768D259"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14:paraId="0B5A867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14:paraId="2AE5268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3403AB5C"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0BD1C99B"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14:paraId="0A30095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14:paraId="6FE313C3"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14:paraId="757A12C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14:paraId="672F4EB5"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14:paraId="1CEB5DAF"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14:paraId="0C75B395"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14:paraId="1A7706AA"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14:paraId="63476FB0"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14:paraId="46949B2A"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14:paraId="5FCFAE1B" w14:textId="77777777" w:rsidR="00315A35" w:rsidRDefault="00315A35">
      <w:pPr>
        <w:snapToGrid w:val="0"/>
        <w:ind w:left="1320" w:hanging="1320"/>
        <w:outlineLvl w:val="0"/>
        <w:rPr>
          <w:rFonts w:ascii="Times New Roman" w:eastAsia="標楷體" w:hAnsi="Times New Roman" w:cs="Times New Roman"/>
          <w:bCs/>
          <w:color w:val="000000"/>
          <w:kern w:val="2"/>
        </w:rPr>
      </w:pPr>
    </w:p>
    <w:p w14:paraId="2140D503" w14:textId="6A1C6EB3"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14:paraId="4F389B45" w14:textId="4FB55031"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14:paraId="79D2404A" w14:textId="77777777" w:rsidR="00582034" w:rsidRPr="00BA473A" w:rsidRDefault="00582034">
      <w:pPr>
        <w:snapToGrid w:val="0"/>
        <w:ind w:left="588"/>
        <w:rPr>
          <w:rFonts w:ascii="Times New Roman" w:eastAsia="標楷體" w:hAnsi="Times New Roman" w:cs="Times New Roman"/>
        </w:rPr>
      </w:pPr>
    </w:p>
    <w:p w14:paraId="49A99556" w14:textId="4A83A99D"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14:paraId="09D2D3F8" w14:textId="77777777"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請參加人員所屬服務機關學校於研習期間惠予公</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14:paraId="781A8EC2" w14:textId="77777777"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14:paraId="2DE39520" w14:textId="77777777"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14:paraId="525188F2" w14:textId="77777777" w:rsidR="00582034" w:rsidRDefault="00582034">
      <w:pPr>
        <w:snapToGrid w:val="0"/>
        <w:ind w:left="1320" w:hanging="1320"/>
        <w:outlineLvl w:val="0"/>
        <w:rPr>
          <w:rFonts w:ascii="Times New Roman" w:eastAsia="標楷體" w:hAnsi="Times New Roman" w:cs="Times New Roman"/>
          <w:color w:val="000000"/>
        </w:rPr>
      </w:pPr>
    </w:p>
    <w:p w14:paraId="432A3DC5" w14:textId="709790EE"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14:paraId="469085DC" w14:textId="77777777"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pgSz w:w="11906" w:h="16838"/>
      <w:pgMar w:top="720" w:right="720" w:bottom="720" w:left="72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6963" w14:textId="77777777" w:rsidR="003211A0" w:rsidRDefault="003211A0" w:rsidP="00C122FC">
      <w:r>
        <w:separator/>
      </w:r>
    </w:p>
  </w:endnote>
  <w:endnote w:type="continuationSeparator" w:id="0">
    <w:p w14:paraId="6780795D" w14:textId="77777777" w:rsidR="003211A0" w:rsidRDefault="003211A0"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04F1" w14:textId="77777777" w:rsidR="003211A0" w:rsidRDefault="003211A0" w:rsidP="00C122FC">
      <w:r>
        <w:separator/>
      </w:r>
    </w:p>
  </w:footnote>
  <w:footnote w:type="continuationSeparator" w:id="0">
    <w:p w14:paraId="7FC236F0" w14:textId="77777777" w:rsidR="003211A0" w:rsidRDefault="003211A0" w:rsidP="00C12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15:restartNumberingAfterBreak="0">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15:restartNumberingAfterBreak="0">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15:restartNumberingAfterBreak="0">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15:restartNumberingAfterBreak="0">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15:restartNumberingAfterBreak="0">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15:restartNumberingAfterBreak="0">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15:restartNumberingAfterBreak="0">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15:restartNumberingAfterBreak="0">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720"/>
  <w:autoHyphenation/>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00"/>
    <w:rsid w:val="00086F3F"/>
    <w:rsid w:val="00202561"/>
    <w:rsid w:val="002A4EF4"/>
    <w:rsid w:val="00315A35"/>
    <w:rsid w:val="003211A0"/>
    <w:rsid w:val="0035094D"/>
    <w:rsid w:val="0043407E"/>
    <w:rsid w:val="004748E4"/>
    <w:rsid w:val="004C6F52"/>
    <w:rsid w:val="00582034"/>
    <w:rsid w:val="005F7E86"/>
    <w:rsid w:val="00730F25"/>
    <w:rsid w:val="00734E6D"/>
    <w:rsid w:val="0082594A"/>
    <w:rsid w:val="00896EF9"/>
    <w:rsid w:val="009015F3"/>
    <w:rsid w:val="009F50E4"/>
    <w:rsid w:val="00B75698"/>
    <w:rsid w:val="00BA473A"/>
    <w:rsid w:val="00BA4A83"/>
    <w:rsid w:val="00BB347C"/>
    <w:rsid w:val="00BE30A7"/>
    <w:rsid w:val="00C122FC"/>
    <w:rsid w:val="00C87031"/>
    <w:rsid w:val="00D47DCC"/>
    <w:rsid w:val="00D71E6C"/>
    <w:rsid w:val="00DF518E"/>
    <w:rsid w:val="00E75E92"/>
    <w:rsid w:val="00ED0B00"/>
    <w:rsid w:val="00F502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25E40"/>
  <w15:docId w15:val="{0EBBEE9D-B586-4BF0-993E-79E357DD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4</DocSecurity>
  <Lines>12</Lines>
  <Paragraphs>3</Paragraphs>
  <ScaleCrop>false</ScaleCrop>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李 素禎</cp:lastModifiedBy>
  <cp:revision>2</cp:revision>
  <dcterms:created xsi:type="dcterms:W3CDTF">2022-04-14T03:00:00Z</dcterms:created>
  <dcterms:modified xsi:type="dcterms:W3CDTF">2022-04-14T03:00:00Z</dcterms:modified>
  <dc:language>zh-TW</dc:language>
</cp:coreProperties>
</file>